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2011680" cy="1149531"/>
            <wp:docPr id="1" name="Picture 1"/>
            <wp:cNvGraphicFramePr>
              <a:graphicFrameLocks noChangeAspect="1"/>
            </wp:cNvGraphicFramePr>
            <a:graphic>
              <a:graphicData uri="http://schemas.openxmlformats.org/drawingml/2006/picture">
                <pic:pic>
                  <pic:nvPicPr>
                    <pic:cNvPr id="0" name="refine_beauty_logo.png"/>
                    <pic:cNvPicPr/>
                  </pic:nvPicPr>
                  <pic:blipFill>
                    <a:blip r:embed="rId9"/>
                    <a:stretch>
                      <a:fillRect/>
                    </a:stretch>
                  </pic:blipFill>
                  <pic:spPr>
                    <a:xfrm>
                      <a:off x="0" y="0"/>
                      <a:ext cx="2011680" cy="1149531"/>
                    </a:xfrm>
                    <a:prstGeom prst="rect"/>
                  </pic:spPr>
                </pic:pic>
              </a:graphicData>
            </a:graphic>
          </wp:inline>
        </w:drawing>
      </w:r>
    </w:p>
    <w:p>
      <w:pPr>
        <w:pStyle w:val="Title"/>
        <w:jc w:val="center"/>
      </w:pPr>
      <w:r>
        <w:t>Privacy, Dignity &amp; Respect Policy</w:t>
      </w:r>
    </w:p>
    <w:tbl>
      <w:tblPr>
        <w:tblStyle w:val="TableGrid"/>
        <w:tblW w:type="auto" w:w="0"/>
        <w:jc w:val="center"/>
        <w:tblLook w:firstColumn="1" w:firstRow="1" w:lastColumn="0" w:lastRow="0" w:noHBand="0" w:noVBand="1" w:val="04A0"/>
      </w:tblPr>
      <w:tblGrid>
        <w:gridCol w:w="5083"/>
        <w:gridCol w:w="5083"/>
      </w:tblGrid>
      <w:tr>
        <w:tc>
          <w:tcPr>
            <w:tcW w:type="dxa" w:w="5083"/>
          </w:tcPr>
          <w:p>
            <w:r>
              <w:rPr>
                <w:b/>
              </w:rPr>
              <w:t>Date effective / reviewed</w:t>
            </w:r>
          </w:p>
        </w:tc>
        <w:tc>
          <w:tcPr>
            <w:tcW w:type="dxa" w:w="5083"/>
          </w:tcPr>
          <w:p>
            <w:r>
              <w:t>15 August 2026</w:t>
            </w:r>
          </w:p>
        </w:tc>
      </w:tr>
      <w:tr>
        <w:tc>
          <w:tcPr>
            <w:tcW w:type="dxa" w:w="5083"/>
          </w:tcPr>
          <w:p>
            <w:r>
              <w:rPr>
                <w:b/>
              </w:rPr>
              <w:t>Next review date</w:t>
            </w:r>
          </w:p>
        </w:tc>
        <w:tc>
          <w:tcPr>
            <w:tcW w:type="dxa" w:w="5083"/>
          </w:tcPr>
          <w:p>
            <w:r>
              <w:t>15 August 2027</w:t>
            </w:r>
          </w:p>
        </w:tc>
      </w:tr>
      <w:tr>
        <w:tc>
          <w:tcPr>
            <w:tcW w:type="dxa" w:w="5083"/>
          </w:tcPr>
          <w:p>
            <w:r>
              <w:rPr>
                <w:b/>
              </w:rPr>
              <w:t>Version</w:t>
            </w:r>
          </w:p>
        </w:tc>
        <w:tc>
          <w:tcPr>
            <w:tcW w:type="dxa" w:w="5083"/>
          </w:tcPr>
          <w:p>
            <w:r>
              <w:t>2</w:t>
            </w:r>
          </w:p>
        </w:tc>
      </w:tr>
      <w:tr>
        <w:tc>
          <w:tcPr>
            <w:tcW w:type="dxa" w:w="5083"/>
          </w:tcPr>
          <w:p>
            <w:r>
              <w:rPr>
                <w:b/>
              </w:rPr>
              <w:t>Policy owner / author</w:t>
            </w:r>
          </w:p>
        </w:tc>
        <w:tc>
          <w:tcPr>
            <w:tcW w:type="dxa" w:w="5083"/>
          </w:tcPr>
          <w:p>
            <w:r>
              <w:t>Robyn Duffy</w:t>
            </w:r>
          </w:p>
        </w:tc>
      </w:tr>
    </w:tbl>
    <w:p>
      <w:pPr>
        <w:pStyle w:val="Heading1"/>
      </w:pPr>
      <w:r>
        <w:t>1. Purpose and scope</w:t>
      </w:r>
    </w:p>
    <w:p>
      <w:r>
        <w:t>Refine Beauty Aesthetics is committed to providing care that protects privacy, preserves dignity, respects individual rights and treats every client as a person with their own needs, preferences, values and choices.</w:t>
      </w:r>
    </w:p>
    <w:p>
      <w:r>
        <w:t>This policy applies throughout consultation, assessment, prescribing, treatment, photography, aftercare, communication and follow-up. It supports the Scottish Health and Social Care Standards and should be read alongside the Consent, Chaperone, Adult Support &amp; Protection, Information Governance, Complaints and Participation policies.</w:t>
      </w:r>
    </w:p>
    <w:p>
      <w:pPr>
        <w:pStyle w:val="Heading1"/>
      </w:pPr>
      <w:r>
        <w:t>2. Principles</w:t>
      </w:r>
    </w:p>
    <w:p>
      <w:r>
        <w:t>Care will be guided by dignity and respect, compassion, inclusion, responsive care and support for wellbeing. Clients will be treated fairly and without unlawful discrimination.</w:t>
      </w:r>
    </w:p>
    <w:p>
      <w:r>
        <w:t>Robyn will avoid assumptions about a person's needs, preferences, identity, background, beliefs or reasons for seeking treatment. Individual choice will be respected while maintaining professional judgement, safe practice and appropriate clinical boundaries.</w:t>
      </w:r>
    </w:p>
    <w:p>
      <w:pPr>
        <w:pStyle w:val="Heading1"/>
      </w:pPr>
      <w:r>
        <w:t>3. Person-centred care</w:t>
      </w:r>
    </w:p>
    <w:p>
      <w:r>
        <w:t>Consultation and treatment will be individualised. The client's goals, concerns, relevant health needs, communication needs, preferences and expectations will be explored and taken seriously.</w:t>
      </w:r>
    </w:p>
    <w:p>
      <w:r>
        <w:t>A requested treatment will not automatically be provided. Where treatment is clinically inappropriate, unsafe, outside scope or unlikely to meet realistic expectations, this will be explained respectfully and alternatives or appropriate referral considered.</w:t>
      </w:r>
    </w:p>
    <w:p>
      <w:r>
        <w:t>Clients will be given clear information and sufficient opportunity to ask questions and participate in decisions about their care.</w:t>
      </w:r>
    </w:p>
    <w:p>
      <w:pPr>
        <w:pStyle w:val="Heading1"/>
      </w:pPr>
      <w:r>
        <w:t>4. Privacy during consultations and treatment</w:t>
      </w:r>
    </w:p>
    <w:p>
      <w:r>
        <w:t>Consultations, assessments and treatments will take place in an environment that provides appropriate visual and auditory privacy. Doors, screens or other practical measures will be used where required.</w:t>
      </w:r>
    </w:p>
    <w:p>
      <w:r>
        <w:t>The reason for examination, touch, positioning, removal or adjustment of clothing, photography or other potentially sensitive activity will be explained before it occurs. Exposure will be limited to what is necessary for safe assessment or treatment.</w:t>
      </w:r>
    </w:p>
    <w:p>
      <w:r>
        <w:t>Interruptions will be minimised and unauthorised persons will not be present during confidential discussions or treatment.</w:t>
      </w:r>
    </w:p>
    <w:p>
      <w:pPr>
        <w:pStyle w:val="Heading1"/>
      </w:pPr>
      <w:r>
        <w:t>5. Dignity, touch and personal boundaries</w:t>
      </w:r>
    </w:p>
    <w:p>
      <w:r>
        <w:t>Clients will be treated with courtesy, kindness and professional respect. Physical contact will be limited to what is appropriate for assessment, treatment, positioning, safety or another explained clinical purpose.</w:t>
      </w:r>
    </w:p>
    <w:p>
      <w:r>
        <w:t>The client will be encouraged to say if they are uncomfortable, need a pause or want the procedure to stop. Consent can be withdrawn at any time, subject only to the immediate practical steps required to stop safely.</w:t>
      </w:r>
    </w:p>
    <w:p>
      <w:r>
        <w:t>Professional boundaries will be maintained even where the practitioner and client know each other socially or communication is informal.</w:t>
      </w:r>
    </w:p>
    <w:p>
      <w:pPr>
        <w:pStyle w:val="Heading1"/>
      </w:pPr>
      <w:r>
        <w:t>6. Chaperones and companions</w:t>
      </w:r>
    </w:p>
    <w:p>
      <w:r>
        <w:t>A client may request a chaperone for any consultation, assessment or treatment. Arrangements will follow the separate Chaperone Policy.</w:t>
      </w:r>
    </w:p>
    <w:p>
      <w:r>
        <w:t>A friend, relative or companion may attend where appropriate and with the client's agreement, but their presence will not override the client's privacy, autonomy or opportunity to speak confidentially with Robyn.</w:t>
      </w:r>
    </w:p>
    <w:p>
      <w:r>
        <w:t>Where coercion, undue influence or safeguarding concerns are suspected, Robyn may seek an opportunity to speak with the client privately.</w:t>
      </w:r>
    </w:p>
    <w:p>
      <w:pPr>
        <w:pStyle w:val="Heading1"/>
      </w:pPr>
      <w:r>
        <w:t>7. Equality, diversity and reasonable adjustments</w:t>
      </w:r>
    </w:p>
    <w:p>
      <w:r>
        <w:t>Care will be provided without unlawful discrimination. Individual differences and protected characteristics will be respected, including age, disability, gender reassignment, marriage or civil partnership, pregnancy or maternity, race, religion or belief, sex and sexual orientation.</w:t>
      </w:r>
    </w:p>
    <w:p>
      <w:r>
        <w:t>Reasonable adjustments will be considered for disabled clients and others with accessibility or communication needs. This may include adapting communication, allowing additional time, considering physical access needs or agreeing another proportionate adjustment.</w:t>
      </w:r>
    </w:p>
    <w:p>
      <w:r>
        <w:t>Where the clinic cannot safely or reasonably meet a particular need, this will be discussed respectfully and an alternative arrangement or referral considered where possible.</w:t>
      </w:r>
    </w:p>
    <w:p>
      <w:pPr>
        <w:pStyle w:val="Heading1"/>
      </w:pPr>
      <w:r>
        <w:t>8. Communication, language and understanding</w:t>
      </w:r>
    </w:p>
    <w:p>
      <w:r>
        <w:t>Information will be communicated in a way the client can understand. Jargon will be avoided or explained and the client will have opportunities to ask questions.</w:t>
      </w:r>
    </w:p>
    <w:p>
      <w:r>
        <w:t>A companion will not automatically be used as an interpreter for important clinical information. Where effective communication cannot be achieved safely, treatment may be postponed until appropriate communication support can be arranged.</w:t>
      </w:r>
    </w:p>
    <w:p>
      <w:r>
        <w:t>Communication will remain respectful in person, by telephone, electronically and through social-media or messaging channels used for legitimate clinic purposes.</w:t>
      </w:r>
    </w:p>
    <w:p>
      <w:pPr>
        <w:pStyle w:val="Heading1"/>
      </w:pPr>
      <w:r>
        <w:t>9. Confidentiality and discreet communication</w:t>
      </w:r>
    </w:p>
    <w:p>
      <w:r>
        <w:t>Personal and clinical information will be treated confidentially in accordance with the Information Governance, Confidentiality &amp; Clinical Records Policy.</w:t>
      </w:r>
    </w:p>
    <w:p>
      <w:r>
        <w:t>Conversations about clients will not take place where they can unnecessarily be overheard. Messages, appointment information and other communications will be handled discreetly, with consideration given to the client's preferences and the sensitivity of the information.</w:t>
      </w:r>
    </w:p>
    <w:p>
      <w:r>
        <w:t>Information will only be shared where there is an appropriate professional and lawful basis.</w:t>
      </w:r>
    </w:p>
    <w:p>
      <w:pPr>
        <w:pStyle w:val="Heading1"/>
      </w:pPr>
      <w:r>
        <w:t>10. Clinical and promotional photography</w:t>
      </w:r>
    </w:p>
    <w:p>
      <w:r>
        <w:t>Clinical photographs may be used for assessment, treatment planning, monitoring and the clinical record. Their purpose will be explained and they will be protected as confidential health information.</w:t>
      </w:r>
    </w:p>
    <w:p>
      <w:r>
        <w:t>Consent for advertising, website, social-media, portfolio, teaching or other non-clinical use is separate and optional. Declining promotional photography will not affect access to treatment or the standard of care provided.</w:t>
      </w:r>
    </w:p>
    <w:p>
      <w:r>
        <w:t>Photography will be undertaken in a manner that preserves dignity, limits unnecessary identifying features where appropriate and follows the clinic's Consent and Information Governance policies.</w:t>
      </w:r>
    </w:p>
    <w:p>
      <w:pPr>
        <w:pStyle w:val="Heading1"/>
      </w:pPr>
      <w:r>
        <w:t>11. Choice, control and refusal</w:t>
      </w:r>
    </w:p>
    <w:p>
      <w:r>
        <w:t>Clients have the right to make informed choices, including deciding not to proceed, postponing treatment, declining optional photography or requesting a chaperone.</w:t>
      </w:r>
    </w:p>
    <w:p>
      <w:r>
        <w:t>A client will not be pressured to undergo elective treatment because an appointment has been booked, a deposit has been paid or a product has been prepared.</w:t>
      </w:r>
    </w:p>
    <w:p>
      <w:r>
        <w:t>Robyn also retains professional responsibility to decline or defer treatment where proceeding would be unsafe, inappropriate or outside competence or scope. The reason will be communicated respectfully.</w:t>
      </w:r>
    </w:p>
    <w:p>
      <w:pPr>
        <w:pStyle w:val="Heading1"/>
      </w:pPr>
      <w:r>
        <w:t>12. Safeguarding, vulnerability and capacity</w:t>
      </w:r>
    </w:p>
    <w:p>
      <w:r>
        <w:t>Privacy and autonomy will be balanced with safeguarding responsibilities. Concerns about abuse, exploitation, coercion or an adult at risk of harm will be managed under the Adult Support &amp; Protection Policy.</w:t>
      </w:r>
    </w:p>
    <w:p>
      <w:r>
        <w:t>Capacity is decision-specific and time-specific. Where Robyn is not satisfied that valid consent can be given, elective treatment will not proceed until the issue has been appropriately addressed.</w:t>
      </w:r>
    </w:p>
    <w:p>
      <w:r>
        <w:t>Safeguarding action and information sharing will be proportionate and based on applicable legal and professional requirements rather than treating privacy or confidentiality as absolute.</w:t>
      </w:r>
    </w:p>
    <w:p>
      <w:pPr>
        <w:pStyle w:val="Heading1"/>
      </w:pPr>
      <w:r>
        <w:t>13. Environment and client experience</w:t>
      </w:r>
    </w:p>
    <w:p>
      <w:r>
        <w:t>The clinic environment will be maintained so that it supports privacy, dignity, comfort, cleanliness and safety. Treatment areas will be appropriately prepared and unnecessary clutter or exposure of confidential information avoided.</w:t>
      </w:r>
    </w:p>
    <w:p>
      <w:r>
        <w:t>Where music, lighting, temperature, positioning or another reasonable environmental adjustment would improve comfort without compromising safety, the client's preference will be considered.</w:t>
      </w:r>
    </w:p>
    <w:p>
      <w:r>
        <w:t>The environment and service will be reviewed through feedback, audit, risk assessment and clinical governance.</w:t>
      </w:r>
    </w:p>
    <w:p>
      <w:pPr>
        <w:pStyle w:val="Heading1"/>
      </w:pPr>
      <w:r>
        <w:t>14. Feedback, concerns and complaints</w:t>
      </w:r>
    </w:p>
    <w:p>
      <w:r>
        <w:t>Clients are encouraged to provide feedback about their experience, including whether they felt listened to, respected, involved and comfortable.</w:t>
      </w:r>
    </w:p>
    <w:p>
      <w:r>
        <w:t>Concerns about privacy, dignity, discrimination or disrespect will be taken seriously. Clients will not be disadvantaged for raising a concern or complaint. Complaints will be handled under the Complaints Policy and learning considered through the Clinical Governance framework.</w:t>
      </w:r>
    </w:p>
    <w:p>
      <w:pPr>
        <w:pStyle w:val="Heading1"/>
      </w:pPr>
      <w:r>
        <w:t>15. Audit and review</w:t>
      </w:r>
    </w:p>
    <w:p>
      <w:r>
        <w:t>Compliance with this policy will be considered through clinical governance, client feedback, complaints, incidents, record review and relevant audits.</w:t>
      </w:r>
    </w:p>
    <w:p>
      <w:r>
        <w:t>This policy will be reviewed at least annually and sooner following a significant concern, complaint, change in premises or treatment scope, regulatory/professional change or evidence that privacy, dignity or accessibility arrangements require improvement.</w:t>
      </w:r>
    </w:p>
    <w:p>
      <w:pPr>
        <w:pStyle w:val="Heading1"/>
      </w:pPr>
      <w:r>
        <w:t>16. Key references</w:t>
      </w:r>
    </w:p>
    <w:p>
      <w:r>
        <w:t>• Scottish Government - Health and Social Care Standards: My support, my life.</w:t>
        <w:br/>
        <w:t>• Healthcare Improvement Scotland requirements applicable to independent healthcare services.</w:t>
        <w:br/>
        <w:t>• Nursing and Midwifery Council - The Code.</w:t>
        <w:br/>
        <w:t>• Equality Act 2010.</w:t>
        <w:br/>
        <w:t>• Applicable UK data-protection and confidentiality requirements.</w:t>
        <w:br/>
        <w:t>• Refine Beauty Aesthetics Consent, Chaperone, Adult Support &amp; Protection, Information Governance, Complaints, Participation and Clinical Governance policies.</w:t>
      </w:r>
    </w:p>
    <w:p>
      <w:pPr>
        <w:pStyle w:val="Heading1"/>
      </w:pPr>
      <w:r>
        <w:t>Document control</w:t>
      </w:r>
    </w:p>
    <w:p>
      <w:r>
        <w:rPr>
          <w:b/>
        </w:rPr>
        <w:t xml:space="preserve">Version 2 | 15/08/2026 | </w:t>
      </w:r>
      <w:r>
        <w:t>Full review and rewrite. Retained the Scottish Health and Social Care Standards framework while streamlining historic biographical/premises wording. Strengthened privacy during treatment, dignity and professional boundaries, equality and reasonable adjustments, communication, chaperones, clinical versus promotional photography, confidentiality, choice/refusal, safeguarding, client feedback and governance review. Approved by Robyn Duffy.</w:t>
      </w:r>
    </w:p>
    <w:sectPr w:rsidR="00FC693F" w:rsidRPr="0006063C" w:rsidSect="00034616">
      <w:footerReference w:type="default" r:id="rId10"/>
      <w:pgSz w:w="12240" w:h="15840"/>
      <w:pgMar w:top="893" w:right="1037" w:bottom="893"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Refine Beauty Aesthetics | Privacy, Dignity &amp; Respect Policy | Version 2</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